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5F8DF">
      <w:pPr>
        <w:spacing w:after="280"/>
        <w:jc w:val="left"/>
      </w:pPr>
      <w:r>
        <w:rPr>
          <w:rFonts w:ascii="Arial" w:hAnsi="Arial"/>
          <w:b/>
          <w:color w:val="184C78"/>
          <w:sz w:val="32"/>
        </w:rPr>
        <w:t>Wristwatch Personal Dosimeter - Specifications</w:t>
      </w:r>
    </w:p>
    <w:p w14:paraId="47254B64">
      <w:pPr>
        <w:spacing w:after="120"/>
      </w:pPr>
      <w:r>
        <w:rPr>
          <w:rFonts w:ascii="Arial" w:hAnsi="Arial"/>
          <w:b/>
          <w:color w:val="184C78"/>
          <w:sz w:val="24"/>
        </w:rPr>
        <w:t>1. Product Overview</w:t>
      </w:r>
    </w:p>
    <w:p w14:paraId="0395ECF1">
      <w:pPr>
        <w:spacing w:after="280"/>
      </w:pPr>
      <w:r>
        <w:rPr>
          <w:rFonts w:ascii="Arial" w:hAnsi="Arial"/>
          <w:b w:val="0"/>
          <w:color w:val="333333"/>
          <w:sz w:val="21"/>
        </w:rPr>
        <w:t>The</w:t>
      </w:r>
      <w:r>
        <w:rPr>
          <w:rFonts w:hint="eastAsia" w:ascii="Arial" w:hAnsi="Arial" w:eastAsia="宋体"/>
          <w:b w:val="0"/>
          <w:color w:val="333333"/>
          <w:sz w:val="21"/>
          <w:lang w:val="en-US" w:eastAsia="zh-CN"/>
        </w:rPr>
        <w:t xml:space="preserve"> GM-16</w:t>
      </w:r>
      <w:r>
        <w:rPr>
          <w:rFonts w:ascii="Arial" w:hAnsi="Arial"/>
          <w:b w:val="0"/>
          <w:color w:val="333333"/>
          <w:sz w:val="21"/>
        </w:rPr>
        <w:t xml:space="preserve"> Wristwatch Personal Dosimeter is an X and γ ray radiation warning instrument, primarily designed to monitor the radiation dose received by personnel from X-rays and γ-rays in radioactive environments. Featuring a compact size, it can be worn just like a standard wristwatch.</w:t>
      </w:r>
      <w:r>
        <w:rPr>
          <w:rFonts w:ascii="Arial" w:hAnsi="Arial"/>
          <w:b w:val="0"/>
          <w:color w:val="333333"/>
          <w:sz w:val="21"/>
        </w:rPr>
        <w:br w:type="textWrapping"/>
      </w:r>
      <w:r>
        <w:rPr>
          <w:rFonts w:ascii="Arial" w:hAnsi="Arial"/>
          <w:b w:val="0"/>
          <w:color w:val="333333"/>
          <w:sz w:val="21"/>
        </w:rPr>
        <w:br w:type="textWrapping"/>
      </w:r>
      <w:r>
        <w:rPr>
          <w:rFonts w:ascii="Arial" w:hAnsi="Arial"/>
          <w:b w:val="0"/>
          <w:color w:val="333333"/>
          <w:sz w:val="21"/>
        </w:rPr>
        <w:t>This dosimeter is suitable for measuring radiation dose equivalents in medical radiology, industrial non-destructive testing (NDT), radioisotope applications, occupational health prevention, military operations, nuclear power plants, and areas surrounding radioactive workplaces.</w:t>
      </w:r>
    </w:p>
    <w:p w14:paraId="3C5E73CF">
      <w:pPr>
        <w:spacing w:after="120"/>
      </w:pPr>
      <w:r>
        <w:rPr>
          <w:rFonts w:ascii="Arial" w:hAnsi="Arial"/>
          <w:b/>
          <w:color w:val="184C78"/>
          <w:sz w:val="24"/>
        </w:rPr>
        <w:t>2. Key Features</w:t>
      </w:r>
    </w:p>
    <w:p w14:paraId="7A766843">
      <w:pPr>
        <w:pStyle w:val="16"/>
        <w:spacing w:after="80"/>
      </w:pPr>
      <w:r>
        <w:rPr>
          <w:rFonts w:ascii="Arial" w:hAnsi="Arial"/>
          <w:b/>
          <w:color w:val="333333"/>
          <w:sz w:val="21"/>
        </w:rPr>
        <w:t xml:space="preserve">High-Sensitivity Detector: </w:t>
      </w:r>
      <w:r>
        <w:rPr>
          <w:rFonts w:ascii="Arial" w:hAnsi="Arial"/>
          <w:b w:val="0"/>
          <w:color w:val="333333"/>
          <w:sz w:val="21"/>
        </w:rPr>
        <w:t>High sensitivity with strong anti-interference capabilities.</w:t>
      </w:r>
    </w:p>
    <w:p w14:paraId="0076BD9A">
      <w:pPr>
        <w:pStyle w:val="16"/>
        <w:spacing w:after="80"/>
      </w:pPr>
      <w:r>
        <w:rPr>
          <w:rFonts w:ascii="Arial" w:hAnsi="Arial"/>
          <w:b/>
          <w:color w:val="333333"/>
          <w:sz w:val="21"/>
        </w:rPr>
        <w:t xml:space="preserve">Large LCD Display: </w:t>
      </w:r>
      <w:r>
        <w:rPr>
          <w:rFonts w:ascii="Arial" w:hAnsi="Arial"/>
          <w:b w:val="0"/>
          <w:color w:val="333333"/>
          <w:sz w:val="21"/>
        </w:rPr>
        <w:t xml:space="preserve">Features extra-large fonts for easy reading and supports internal data </w:t>
      </w:r>
      <w:bookmarkStart w:id="0" w:name="_GoBack"/>
      <w:bookmarkEnd w:id="0"/>
      <w:r>
        <w:rPr>
          <w:rFonts w:ascii="Arial" w:hAnsi="Arial"/>
          <w:b w:val="0"/>
          <w:color w:val="333333"/>
          <w:sz w:val="21"/>
        </w:rPr>
        <w:t>storage.</w:t>
      </w:r>
    </w:p>
    <w:p w14:paraId="79618235">
      <w:pPr>
        <w:pStyle w:val="16"/>
        <w:spacing w:after="80"/>
      </w:pPr>
      <w:r>
        <w:rPr>
          <w:rFonts w:ascii="Arial" w:hAnsi="Arial"/>
          <w:b/>
          <w:color w:val="333333"/>
          <w:sz w:val="21"/>
        </w:rPr>
        <w:t xml:space="preserve">User-Friendly: </w:t>
      </w:r>
      <w:r>
        <w:rPr>
          <w:rFonts w:ascii="Arial" w:hAnsi="Arial"/>
          <w:b w:val="0"/>
          <w:color w:val="333333"/>
          <w:sz w:val="21"/>
        </w:rPr>
        <w:t>Easy to wear, simple to operate, and equipped with a combined data transfer and charging interface.</w:t>
      </w:r>
    </w:p>
    <w:p w14:paraId="26FCBE1F">
      <w:pPr>
        <w:spacing w:after="160"/>
      </w:pPr>
      <w:r>
        <w:rPr>
          <w:rFonts w:ascii="Arial" w:hAnsi="Arial"/>
          <w:b/>
          <w:color w:val="184C78"/>
          <w:sz w:val="24"/>
        </w:rPr>
        <w:t>3. Technical Specifications</w:t>
      </w:r>
    </w:p>
    <w:tbl>
      <w:tblPr>
        <w:tblStyle w:val="3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6A0E9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shd w:val="clear" w:color="auto" w:fill="184C78"/>
          </w:tcPr>
          <w:p w14:paraId="67DF3492">
            <w:r>
              <w:rPr>
                <w:rFonts w:ascii="Arial" w:hAnsi="Arial"/>
                <w:b/>
                <w:color w:val="FFFFFF"/>
                <w:sz w:val="21"/>
              </w:rPr>
              <w:t>Item / Parameter</w:t>
            </w:r>
          </w:p>
        </w:tc>
        <w:tc>
          <w:tcPr>
            <w:tcW w:w="5760" w:type="dxa"/>
            <w:shd w:val="clear" w:color="auto" w:fill="184C78"/>
          </w:tcPr>
          <w:p w14:paraId="5B5A13E4">
            <w:r>
              <w:rPr>
                <w:rFonts w:ascii="Arial" w:hAnsi="Arial"/>
                <w:b/>
                <w:color w:val="FFFFFF"/>
                <w:sz w:val="21"/>
              </w:rPr>
              <w:t>Specification</w:t>
            </w:r>
          </w:p>
        </w:tc>
      </w:tr>
      <w:tr w14:paraId="0420D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</w:tcPr>
          <w:p w14:paraId="2483FE0D">
            <w:r>
              <w:rPr>
                <w:rFonts w:ascii="Arial" w:hAnsi="Arial"/>
                <w:b/>
                <w:color w:val="333333"/>
                <w:sz w:val="20"/>
              </w:rPr>
              <w:t>Detector</w:t>
            </w:r>
          </w:p>
        </w:tc>
        <w:tc>
          <w:tcPr>
            <w:tcW w:w="5760" w:type="dxa"/>
          </w:tcPr>
          <w:p w14:paraId="32D516D8">
            <w:r>
              <w:rPr>
                <w:rFonts w:ascii="Arial" w:hAnsi="Arial"/>
                <w:b w:val="0"/>
                <w:color w:val="333333"/>
                <w:sz w:val="20"/>
              </w:rPr>
              <w:t>Energy-compensated GM tube detector</w:t>
            </w:r>
          </w:p>
        </w:tc>
      </w:tr>
      <w:tr w14:paraId="1069C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shd w:val="clear" w:color="auto" w:fill="F4F6F8"/>
          </w:tcPr>
          <w:p w14:paraId="75C66E6C">
            <w:r>
              <w:rPr>
                <w:rFonts w:ascii="Arial" w:hAnsi="Arial"/>
                <w:b/>
                <w:color w:val="333333"/>
                <w:sz w:val="20"/>
              </w:rPr>
              <w:t>Dose Equivalent Rate Range</w:t>
            </w:r>
          </w:p>
        </w:tc>
        <w:tc>
          <w:tcPr>
            <w:tcW w:w="5760" w:type="dxa"/>
            <w:shd w:val="clear" w:color="auto" w:fill="F4F6F8"/>
          </w:tcPr>
          <w:p w14:paraId="3D87DEAE">
            <w:r>
              <w:rPr>
                <w:rFonts w:ascii="Arial" w:hAnsi="Arial"/>
                <w:b w:val="0"/>
                <w:color w:val="333333"/>
                <w:sz w:val="20"/>
              </w:rPr>
              <w:t>Hp(0.07) 0.10 μSv/h to 30 mSv/h (Customizable upon request)</w:t>
            </w:r>
          </w:p>
        </w:tc>
      </w:tr>
      <w:tr w14:paraId="544A2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</w:tcPr>
          <w:p w14:paraId="588D8B3A">
            <w:r>
              <w:rPr>
                <w:rFonts w:ascii="Arial" w:hAnsi="Arial"/>
                <w:b/>
                <w:color w:val="333333"/>
                <w:sz w:val="20"/>
              </w:rPr>
              <w:t>Cumulative Dose Equivalent</w:t>
            </w:r>
          </w:p>
        </w:tc>
        <w:tc>
          <w:tcPr>
            <w:tcW w:w="5760" w:type="dxa"/>
          </w:tcPr>
          <w:p w14:paraId="4AC74F76">
            <w:r>
              <w:rPr>
                <w:rFonts w:ascii="Arial" w:hAnsi="Arial"/>
                <w:b w:val="0"/>
                <w:color w:val="333333"/>
                <w:sz w:val="20"/>
              </w:rPr>
              <w:t>Hp(0.07) 0.01 μSv to 9999 mSv</w:t>
            </w:r>
          </w:p>
        </w:tc>
      </w:tr>
      <w:tr w14:paraId="2AC8A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shd w:val="clear" w:color="auto" w:fill="F4F6F8"/>
          </w:tcPr>
          <w:p w14:paraId="593623A8">
            <w:r>
              <w:rPr>
                <w:rFonts w:ascii="Arial" w:hAnsi="Arial"/>
                <w:b/>
                <w:color w:val="333333"/>
                <w:sz w:val="20"/>
              </w:rPr>
              <w:t>Relative Intrinsic Error</w:t>
            </w:r>
          </w:p>
        </w:tc>
        <w:tc>
          <w:tcPr>
            <w:tcW w:w="5760" w:type="dxa"/>
            <w:shd w:val="clear" w:color="auto" w:fill="F4F6F8"/>
          </w:tcPr>
          <w:p w14:paraId="54C08E8D">
            <w:r>
              <w:rPr>
                <w:rFonts w:ascii="Arial" w:hAnsi="Arial"/>
                <w:b w:val="0"/>
                <w:color w:val="333333"/>
                <w:sz w:val="20"/>
              </w:rPr>
              <w:t>≤ ±15% (137Cs)</w:t>
            </w:r>
          </w:p>
        </w:tc>
      </w:tr>
      <w:tr w14:paraId="7E3CC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</w:tcPr>
          <w:p w14:paraId="511317B5">
            <w:r>
              <w:rPr>
                <w:rFonts w:ascii="Arial" w:hAnsi="Arial"/>
                <w:b/>
                <w:color w:val="333333"/>
                <w:sz w:val="20"/>
              </w:rPr>
              <w:t>Energy Response Range</w:t>
            </w:r>
          </w:p>
        </w:tc>
        <w:tc>
          <w:tcPr>
            <w:tcW w:w="5760" w:type="dxa"/>
          </w:tcPr>
          <w:p w14:paraId="0E8BD7A6">
            <w:r>
              <w:rPr>
                <w:rFonts w:ascii="Arial" w:hAnsi="Arial"/>
                <w:b w:val="0"/>
                <w:color w:val="333333"/>
                <w:sz w:val="20"/>
              </w:rPr>
              <w:t>50 keV to 1.3 MeV</w:t>
            </w:r>
          </w:p>
        </w:tc>
      </w:tr>
      <w:tr w14:paraId="0A45A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shd w:val="clear" w:color="auto" w:fill="F4F6F8"/>
          </w:tcPr>
          <w:p w14:paraId="26D99479">
            <w:r>
              <w:rPr>
                <w:rFonts w:ascii="Arial" w:hAnsi="Arial"/>
                <w:b/>
                <w:color w:val="333333"/>
                <w:sz w:val="20"/>
              </w:rPr>
              <w:t>Alarm Functions</w:t>
            </w:r>
          </w:p>
        </w:tc>
        <w:tc>
          <w:tcPr>
            <w:tcW w:w="5760" w:type="dxa"/>
            <w:shd w:val="clear" w:color="auto" w:fill="F4F6F8"/>
          </w:tcPr>
          <w:p w14:paraId="0E4F9881">
            <w:r>
              <w:rPr>
                <w:rFonts w:ascii="Arial" w:hAnsi="Arial"/>
                <w:b w:val="0"/>
                <w:color w:val="333333"/>
                <w:sz w:val="20"/>
              </w:rPr>
              <w:t>Alarms for dose rate, cumulative dose, working time, etc. Continuously adjustable thresholds.</w:t>
            </w:r>
          </w:p>
        </w:tc>
      </w:tr>
      <w:tr w14:paraId="0707E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</w:tcPr>
          <w:p w14:paraId="41466C0C">
            <w:r>
              <w:rPr>
                <w:rFonts w:ascii="Arial" w:hAnsi="Arial"/>
                <w:b/>
                <w:color w:val="333333"/>
                <w:sz w:val="20"/>
              </w:rPr>
              <w:t>Data Transmission</w:t>
            </w:r>
          </w:p>
        </w:tc>
        <w:tc>
          <w:tcPr>
            <w:tcW w:w="5760" w:type="dxa"/>
          </w:tcPr>
          <w:p w14:paraId="216609A7">
            <w:r>
              <w:rPr>
                <w:rFonts w:ascii="Arial" w:hAnsi="Arial"/>
                <w:b w:val="0"/>
                <w:color w:val="333333"/>
                <w:sz w:val="20"/>
              </w:rPr>
              <w:t>Transfers measurement data to a computer via data cable</w:t>
            </w:r>
          </w:p>
        </w:tc>
      </w:tr>
      <w:tr w14:paraId="75E95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shd w:val="clear" w:color="auto" w:fill="F4F6F8"/>
          </w:tcPr>
          <w:p w14:paraId="3AD80887">
            <w:r>
              <w:rPr>
                <w:rFonts w:ascii="Arial" w:hAnsi="Arial"/>
                <w:b/>
                <w:color w:val="333333"/>
                <w:sz w:val="20"/>
              </w:rPr>
              <w:t>Power Consumption</w:t>
            </w:r>
          </w:p>
        </w:tc>
        <w:tc>
          <w:tcPr>
            <w:tcW w:w="5760" w:type="dxa"/>
            <w:shd w:val="clear" w:color="auto" w:fill="F4F6F8"/>
          </w:tcPr>
          <w:p w14:paraId="4355AB51">
            <w:r>
              <w:rPr>
                <w:rFonts w:ascii="Arial" w:hAnsi="Arial"/>
                <w:b w:val="0"/>
                <w:color w:val="333333"/>
                <w:sz w:val="20"/>
              </w:rPr>
              <w:t>&lt; 2 mW</w:t>
            </w:r>
          </w:p>
        </w:tc>
      </w:tr>
      <w:tr w14:paraId="465C9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</w:tcPr>
          <w:p w14:paraId="21C374F3">
            <w:r>
              <w:rPr>
                <w:rFonts w:ascii="Arial" w:hAnsi="Arial"/>
                <w:b/>
                <w:color w:val="333333"/>
                <w:sz w:val="20"/>
              </w:rPr>
              <w:t>Operating Temperature &amp; Humidity</w:t>
            </w:r>
          </w:p>
        </w:tc>
        <w:tc>
          <w:tcPr>
            <w:tcW w:w="5760" w:type="dxa"/>
          </w:tcPr>
          <w:p w14:paraId="5A67006D">
            <w:r>
              <w:rPr>
                <w:rFonts w:ascii="Arial" w:hAnsi="Arial"/>
                <w:b w:val="0"/>
                <w:color w:val="333333"/>
                <w:sz w:val="20"/>
              </w:rPr>
              <w:t>Temperature: -10°C to +50°C</w:t>
            </w:r>
            <w:r>
              <w:rPr>
                <w:rFonts w:ascii="Arial" w:hAnsi="Arial"/>
                <w:b w:val="0"/>
                <w:color w:val="333333"/>
                <w:sz w:val="20"/>
              </w:rPr>
              <w:br w:type="textWrapping"/>
            </w:r>
            <w:r>
              <w:rPr>
                <w:rFonts w:ascii="Arial" w:hAnsi="Arial"/>
                <w:b w:val="0"/>
                <w:color w:val="333333"/>
                <w:sz w:val="20"/>
              </w:rPr>
              <w:t>Humidity: ≤ 95% (at 30°C, non-condensing)</w:t>
            </w:r>
          </w:p>
        </w:tc>
      </w:tr>
      <w:tr w14:paraId="2ADCB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shd w:val="clear" w:color="auto" w:fill="F4F6F8"/>
          </w:tcPr>
          <w:p w14:paraId="264F36FD">
            <w:r>
              <w:rPr>
                <w:rFonts w:ascii="Arial" w:hAnsi="Arial"/>
                <w:b/>
                <w:color w:val="333333"/>
                <w:sz w:val="20"/>
              </w:rPr>
              <w:t>Dimensions</w:t>
            </w:r>
          </w:p>
        </w:tc>
        <w:tc>
          <w:tcPr>
            <w:tcW w:w="5760" w:type="dxa"/>
            <w:shd w:val="clear" w:color="auto" w:fill="F4F6F8"/>
          </w:tcPr>
          <w:p w14:paraId="4A0BD2CF">
            <w:r>
              <w:rPr>
                <w:rFonts w:ascii="Arial" w:hAnsi="Arial"/>
                <w:b w:val="0"/>
                <w:color w:val="333333"/>
                <w:sz w:val="20"/>
              </w:rPr>
              <w:t>Diameter 45 mm, Thickness 20 mm (excluding strap)</w:t>
            </w:r>
          </w:p>
        </w:tc>
      </w:tr>
      <w:tr w14:paraId="0899C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</w:tcPr>
          <w:p w14:paraId="29896745">
            <w:r>
              <w:rPr>
                <w:rFonts w:ascii="Arial" w:hAnsi="Arial"/>
                <w:b/>
                <w:color w:val="333333"/>
                <w:sz w:val="20"/>
              </w:rPr>
              <w:t>Weight</w:t>
            </w:r>
          </w:p>
        </w:tc>
        <w:tc>
          <w:tcPr>
            <w:tcW w:w="5760" w:type="dxa"/>
          </w:tcPr>
          <w:p w14:paraId="174CCCF8">
            <w:r>
              <w:rPr>
                <w:rFonts w:ascii="Arial" w:hAnsi="Arial"/>
                <w:b w:val="0"/>
                <w:color w:val="333333"/>
                <w:sz w:val="20"/>
              </w:rPr>
              <w:t>&lt; 70 g (excluding strap)</w:t>
            </w:r>
          </w:p>
        </w:tc>
      </w:tr>
    </w:tbl>
    <w:p w14:paraId="658F7605"/>
    <w:sectPr>
      <w:pgSz w:w="12240" w:h="15840"/>
      <w:pgMar w:top="850" w:right="1440" w:bottom="85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225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1446</Characters>
  <Lines>0</Lines>
  <Paragraphs>0</Paragraphs>
  <TotalTime>74</TotalTime>
  <ScaleCrop>false</ScaleCrop>
  <LinksUpToDate>false</LinksUpToDate>
  <CharactersWithSpaces>1643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ctrl</cp:lastModifiedBy>
  <dcterms:modified xsi:type="dcterms:W3CDTF">2026-08-05T09:13:58Z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eyJoZGlkIjoiMGUyMjM0NjdjMzViYmYwY2VhZDRjYWRiYWU1MGM1NTUiLCJ1c2VySWQiOiI0NTkzMTYxMDQifQ==</vt:lpwstr>
  </property>
  <property fmtid="{D5CDD505-2E9C-101B-9397-08002B2CF9AE}" pid="3" name="KSOProductBuildVer">
    <vt:lpwstr>2052-12.1.0.24034</vt:lpwstr>
  </property>
  <property fmtid="{D5CDD505-2E9C-101B-9397-08002B2CF9AE}" pid="4" name="ICV">
    <vt:lpwstr>8FD53062E98348C3B1E61B7392CAAB22_13</vt:lpwstr>
  </property>
</Properties>
</file>